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C7" w:rsidRPr="00CE50C7" w:rsidRDefault="00CE50C7" w:rsidP="00CE50C7">
      <w:pPr>
        <w:shd w:val="clear" w:color="auto" w:fill="FFFFFF"/>
        <w:spacing w:after="150" w:line="600" w:lineRule="atLeast"/>
        <w:outlineLvl w:val="0"/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</w:pPr>
      <w:r w:rsidRPr="00CE50C7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 xml:space="preserve">Programaren </w:t>
      </w:r>
      <w:proofErr w:type="spellStart"/>
      <w:r w:rsidRPr="00CE50C7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>egitura</w:t>
      </w:r>
      <w:proofErr w:type="spellEnd"/>
    </w:p>
    <w:p w:rsidR="00CE50C7" w:rsidRPr="00CE50C7" w:rsidRDefault="00CE50C7" w:rsidP="00CE50C7">
      <w:pPr>
        <w:shd w:val="clear" w:color="auto" w:fill="FFFFFF"/>
        <w:spacing w:before="600" w:after="150" w:line="390" w:lineRule="atLeast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EZAUGARRIAK</w:t>
      </w:r>
    </w:p>
    <w:p w:rsidR="00CE50C7" w:rsidRPr="00CE50C7" w:rsidRDefault="00CE50C7" w:rsidP="00F34A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Prestakuntza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Ikastaroa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praktikak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hasi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baino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lehenago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burutuko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da (201</w:t>
      </w:r>
      <w:r w:rsidR="002F7AE8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9</w:t>
      </w:r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ko </w:t>
      </w:r>
      <w:proofErr w:type="spellStart"/>
      <w:r w:rsidR="002F7AE8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urria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)</w:t>
      </w:r>
      <w:r w:rsid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F34AFD" w:rsidRPr="00F34AFD" w:rsidRDefault="00CE50C7" w:rsidP="00F34A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Atzerrian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praktiken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garapena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: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Iraupena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r w:rsidR="002F7AE8"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6</w:t>
      </w:r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eta 12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hilabeteren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artekoa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izango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da</w:t>
      </w:r>
      <w:r w:rsidR="00F34AFD"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hyperlink r:id="rId5" w:history="1">
        <w:r w:rsidRPr="00F34AFD">
          <w:rPr>
            <w:rFonts w:ascii="Open Sans" w:eastAsia="Times New Roman" w:hAnsi="Open Sans" w:cs="Times New Roman"/>
            <w:color w:val="B3122F"/>
            <w:sz w:val="26"/>
            <w:szCs w:val="26"/>
            <w:lang w:eastAsia="es-ES"/>
          </w:rPr>
          <w:t>(</w:t>
        </w:r>
        <w:proofErr w:type="spellStart"/>
        <w:r w:rsidRPr="00F34AFD">
          <w:rPr>
            <w:rFonts w:ascii="Open Sans" w:eastAsia="Times New Roman" w:hAnsi="Open Sans" w:cs="Times New Roman"/>
            <w:color w:val="B3122F"/>
            <w:sz w:val="26"/>
            <w:szCs w:val="26"/>
            <w:lang w:eastAsia="es-ES"/>
          </w:rPr>
          <w:t>ikusi</w:t>
        </w:r>
        <w:proofErr w:type="spellEnd"/>
        <w:r w:rsidRPr="00F34AFD">
          <w:rPr>
            <w:rFonts w:ascii="Open Sans" w:eastAsia="Times New Roman" w:hAnsi="Open Sans" w:cs="Times New Roman"/>
            <w:color w:val="B3122F"/>
            <w:sz w:val="26"/>
            <w:szCs w:val="26"/>
            <w:lang w:eastAsia="es-ES"/>
          </w:rPr>
          <w:t xml:space="preserve"> </w:t>
        </w:r>
        <w:proofErr w:type="spellStart"/>
        <w:r w:rsidRPr="00F34AFD">
          <w:rPr>
            <w:rFonts w:ascii="Open Sans" w:eastAsia="Times New Roman" w:hAnsi="Open Sans" w:cs="Times New Roman"/>
            <w:color w:val="B3122F"/>
            <w:sz w:val="26"/>
            <w:szCs w:val="26"/>
            <w:lang w:eastAsia="es-ES"/>
          </w:rPr>
          <w:t>beken</w:t>
        </w:r>
        <w:proofErr w:type="spellEnd"/>
        <w:r w:rsidRPr="00F34AFD">
          <w:rPr>
            <w:rFonts w:ascii="Open Sans" w:eastAsia="Times New Roman" w:hAnsi="Open Sans" w:cs="Times New Roman"/>
            <w:color w:val="B3122F"/>
            <w:sz w:val="26"/>
            <w:szCs w:val="26"/>
            <w:lang w:eastAsia="es-ES"/>
          </w:rPr>
          <w:t xml:space="preserve"> </w:t>
        </w:r>
        <w:proofErr w:type="spellStart"/>
        <w:r w:rsidRPr="00F34AFD">
          <w:rPr>
            <w:rFonts w:ascii="Open Sans" w:eastAsia="Times New Roman" w:hAnsi="Open Sans" w:cs="Times New Roman"/>
            <w:color w:val="B3122F"/>
            <w:sz w:val="26"/>
            <w:szCs w:val="26"/>
            <w:lang w:eastAsia="es-ES"/>
          </w:rPr>
          <w:t>zerrenda</w:t>
        </w:r>
        <w:proofErr w:type="spellEnd"/>
        <w:r w:rsidRPr="00F34AFD">
          <w:rPr>
            <w:rFonts w:ascii="Open Sans" w:eastAsia="Times New Roman" w:hAnsi="Open Sans" w:cs="Times New Roman"/>
            <w:color w:val="B3122F"/>
            <w:sz w:val="26"/>
            <w:szCs w:val="26"/>
            <w:lang w:eastAsia="es-ES"/>
          </w:rPr>
          <w:t>)</w:t>
        </w:r>
      </w:hyperlink>
      <w:r w:rsidR="00F34AFD">
        <w:rPr>
          <w:rFonts w:ascii="Open Sans" w:eastAsia="Times New Roman" w:hAnsi="Open Sans" w:cs="Times New Roman"/>
          <w:color w:val="B3122F"/>
          <w:sz w:val="26"/>
          <w:szCs w:val="26"/>
          <w:lang w:eastAsia="es-ES"/>
        </w:rPr>
        <w:t>.</w:t>
      </w:r>
    </w:p>
    <w:p w:rsidR="00CE50C7" w:rsidRPr="00F34AFD" w:rsidRDefault="00CE50C7" w:rsidP="00F34A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Bekaren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hartzaileak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enpresetan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prestakuntza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praktiko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bat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garatuko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dute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aurreikusitako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funtzioak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eginez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beraien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prestakuntzarekin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erlazionaturikoak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eta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tutorizatuak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.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Tutoreak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bekaren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hartzaileari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praktikan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zuzendu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eta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lagunduko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dio eta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bere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baliabideak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jarriko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ditu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aurrera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eramateko</w:t>
      </w:r>
      <w:proofErr w:type="spellEnd"/>
      <w:r w:rsidRPr="00F34AFD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CE50C7" w:rsidRPr="00CE50C7" w:rsidRDefault="00CE50C7" w:rsidP="00F34A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Ezin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izango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da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beka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hauetan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parte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hartu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administratiboki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edo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penalki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zigortuta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egonik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CE50C7" w:rsidRPr="00CE50C7" w:rsidRDefault="00CE50C7" w:rsidP="00CE50C7">
      <w:pPr>
        <w:shd w:val="clear" w:color="auto" w:fill="FFFFFF"/>
        <w:spacing w:before="600" w:after="150" w:line="390" w:lineRule="atLeast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CE50C7">
        <w:rPr>
          <w:rFonts w:ascii="Open Sans" w:eastAsia="Times New Roman" w:hAnsi="Open Sans" w:cs="Times New Roman"/>
          <w:b/>
          <w:bCs/>
          <w:color w:val="B3122F"/>
          <w:sz w:val="27"/>
          <w:szCs w:val="27"/>
          <w:lang w:eastAsia="es-ES"/>
        </w:rPr>
        <w:t>DIRU KOPURUA</w:t>
      </w:r>
    </w:p>
    <w:p w:rsidR="00CE50C7" w:rsidRDefault="00CE50C7" w:rsidP="0001436F">
      <w:pPr>
        <w:pStyle w:val="HTMLconformatoprevio"/>
        <w:jc w:val="both"/>
        <w:rPr>
          <w:rFonts w:ascii="Open Sans" w:hAnsi="Open Sans" w:cs="Times New Roman"/>
          <w:color w:val="595959"/>
          <w:sz w:val="26"/>
          <w:szCs w:val="26"/>
        </w:rPr>
      </w:pP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Beka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bakoitzaren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finantziazioa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hileko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1.400€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izango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da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lehenengo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sei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hilabeteetan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, eta </w:t>
      </w:r>
      <w:r w:rsidR="002F7AE8" w:rsidRPr="00F34AFD">
        <w:rPr>
          <w:rFonts w:ascii="Open Sans" w:hAnsi="Open Sans" w:cs="Times New Roman"/>
          <w:color w:val="595959"/>
          <w:sz w:val="26"/>
          <w:szCs w:val="26"/>
        </w:rPr>
        <w:t xml:space="preserve">SPRI </w:t>
      </w:r>
      <w:proofErr w:type="spellStart"/>
      <w:r w:rsidR="002F7AE8" w:rsidRPr="00F34AFD">
        <w:rPr>
          <w:rFonts w:ascii="Open Sans" w:hAnsi="Open Sans" w:cs="Times New Roman"/>
          <w:color w:val="595959"/>
          <w:sz w:val="26"/>
          <w:szCs w:val="26"/>
        </w:rPr>
        <w:t>Taldea</w:t>
      </w:r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>ren</w:t>
      </w:r>
      <w:proofErr w:type="spellEnd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>bidez</w:t>
      </w:r>
      <w:proofErr w:type="spellEnd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>finantziatua</w:t>
      </w:r>
      <w:proofErr w:type="spellEnd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>izango</w:t>
      </w:r>
      <w:proofErr w:type="spellEnd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 xml:space="preserve"> da</w:t>
      </w:r>
      <w:r w:rsidR="002F7AE8" w:rsidRPr="00F34AFD">
        <w:rPr>
          <w:rFonts w:ascii="Open Sans" w:hAnsi="Open Sans" w:cs="Times New Roman"/>
          <w:color w:val="595959"/>
          <w:sz w:val="26"/>
          <w:szCs w:val="26"/>
        </w:rPr>
        <w:t xml:space="preserve">, </w:t>
      </w:r>
      <w:proofErr w:type="spellStart"/>
      <w:r w:rsidR="002F7AE8" w:rsidRPr="00F34AFD">
        <w:rPr>
          <w:rFonts w:ascii="Open Sans" w:hAnsi="Open Sans" w:cs="Times New Roman"/>
          <w:color w:val="595959"/>
          <w:sz w:val="26"/>
          <w:szCs w:val="26"/>
        </w:rPr>
        <w:t>Basque</w:t>
      </w:r>
      <w:proofErr w:type="spellEnd"/>
      <w:r w:rsidR="002F7AE8" w:rsidRPr="00F34AFD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="002F7AE8" w:rsidRPr="00F34AFD">
        <w:rPr>
          <w:rFonts w:ascii="Open Sans" w:hAnsi="Open Sans" w:cs="Times New Roman"/>
          <w:color w:val="595959"/>
          <w:sz w:val="26"/>
          <w:szCs w:val="26"/>
        </w:rPr>
        <w:t>Trade</w:t>
      </w:r>
      <w:proofErr w:type="spellEnd"/>
      <w:r w:rsidR="002F7AE8" w:rsidRPr="00F34AFD">
        <w:rPr>
          <w:rFonts w:ascii="Open Sans" w:hAnsi="Open Sans" w:cs="Times New Roman"/>
          <w:color w:val="595959"/>
          <w:sz w:val="26"/>
          <w:szCs w:val="26"/>
        </w:rPr>
        <w:t xml:space="preserve"> and </w:t>
      </w:r>
      <w:proofErr w:type="spellStart"/>
      <w:r w:rsidR="002F7AE8" w:rsidRPr="00F34AFD">
        <w:rPr>
          <w:rFonts w:ascii="Open Sans" w:hAnsi="Open Sans" w:cs="Times New Roman"/>
          <w:color w:val="595959"/>
          <w:sz w:val="26"/>
          <w:szCs w:val="26"/>
        </w:rPr>
        <w:t>Investment</w:t>
      </w:r>
      <w:proofErr w:type="spellEnd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 xml:space="preserve"> – </w:t>
      </w:r>
      <w:proofErr w:type="spellStart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>Nazioarteko</w:t>
      </w:r>
      <w:proofErr w:type="spellEnd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>Euskal</w:t>
      </w:r>
      <w:proofErr w:type="spellEnd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="0076495D" w:rsidRPr="00F34AFD">
        <w:rPr>
          <w:rFonts w:ascii="Open Sans" w:hAnsi="Open Sans" w:cs="Times New Roman"/>
          <w:color w:val="595959"/>
          <w:sz w:val="26"/>
          <w:szCs w:val="26"/>
        </w:rPr>
        <w:t>Agentzia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.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Zazpigarren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hilabetetik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aurrera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,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hileko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diru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kopurua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enpresaren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kontura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</w:t>
      </w:r>
      <w:proofErr w:type="spellStart"/>
      <w:r w:rsidRPr="00CE50C7">
        <w:rPr>
          <w:rFonts w:ascii="Open Sans" w:hAnsi="Open Sans" w:cs="Times New Roman"/>
          <w:color w:val="595959"/>
          <w:sz w:val="26"/>
          <w:szCs w:val="26"/>
        </w:rPr>
        <w:t>izango</w:t>
      </w:r>
      <w:proofErr w:type="spellEnd"/>
      <w:r w:rsidRPr="00CE50C7">
        <w:rPr>
          <w:rFonts w:ascii="Open Sans" w:hAnsi="Open Sans" w:cs="Times New Roman"/>
          <w:color w:val="595959"/>
          <w:sz w:val="26"/>
          <w:szCs w:val="26"/>
        </w:rPr>
        <w:t xml:space="preserve"> da.</w:t>
      </w:r>
    </w:p>
    <w:p w:rsidR="00F34AFD" w:rsidRPr="00CE50C7" w:rsidRDefault="00F34AFD" w:rsidP="00F34AFD">
      <w:pPr>
        <w:pStyle w:val="HTMLconformatoprevio"/>
        <w:spacing w:line="360" w:lineRule="atLeast"/>
        <w:jc w:val="both"/>
        <w:rPr>
          <w:rFonts w:ascii="Open Sans" w:hAnsi="Open Sans" w:cs="Times New Roman"/>
          <w:color w:val="595959"/>
          <w:sz w:val="26"/>
          <w:szCs w:val="26"/>
        </w:rPr>
      </w:pPr>
    </w:p>
    <w:p w:rsidR="00CE50C7" w:rsidRDefault="00CE50C7" w:rsidP="00F34AFD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Euskal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Ganberek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kudeatu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eta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ordainduko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diogu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bekadunari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diru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kopuruaren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osotasuna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F34AFD" w:rsidRPr="00CE50C7" w:rsidRDefault="00F34AFD" w:rsidP="00F34AFD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p w:rsidR="00CE50C7" w:rsidRDefault="00CE50C7" w:rsidP="00F34AFD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Diru-kopurua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Euskal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Herritik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lanpostuko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herrialderarteko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 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bidaia-gastuak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janaria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ostatua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eta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gizarte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segurantza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(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ikaskide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eta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beka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entitateak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)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zerga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betebeharrak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bai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eta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herrialdeko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bisak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eta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txertoak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behar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izanez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gero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ere.</w:t>
      </w:r>
    </w:p>
    <w:p w:rsidR="00F34AFD" w:rsidRPr="00CE50C7" w:rsidRDefault="00F34AFD" w:rsidP="00F34AFD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p w:rsidR="00F34AFD" w:rsidRDefault="00CE50C7" w:rsidP="00F34AFD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Gainera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ezarritako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zenbatekoa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errentaren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gaineko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zerga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honen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lanketa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egingo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da.</w:t>
      </w:r>
    </w:p>
    <w:p w:rsidR="00CE50C7" w:rsidRPr="00CE50C7" w:rsidRDefault="00CE50C7" w:rsidP="00F34AFD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Diru-laguntza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bat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osasun-laguntza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asegurua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istripu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eta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Pasiboaren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ordainketan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praktikan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zehar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ere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badakartza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tbl>
      <w:tblPr>
        <w:tblStyle w:val="Tablaconcuadrcula"/>
        <w:tblW w:w="10140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348"/>
        <w:gridCol w:w="2064"/>
        <w:gridCol w:w="2832"/>
      </w:tblGrid>
      <w:tr w:rsidR="0076198D" w:rsidTr="0002312E">
        <w:tc>
          <w:tcPr>
            <w:tcW w:w="0" w:type="auto"/>
          </w:tcPr>
          <w:p w:rsidR="0076198D" w:rsidRDefault="0076198D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B967BC3" wp14:editId="4716C520">
                  <wp:extent cx="1066800" cy="711487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SKO_GANBER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91" cy="7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6198D" w:rsidRDefault="0076198D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4F953BEF" wp14:editId="2B291B77">
                  <wp:extent cx="1988820" cy="716280"/>
                  <wp:effectExtent l="0" t="0" r="0" b="7620"/>
                  <wp:docPr id="2" name="Imagen 2" descr="BTI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TI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32" cy="72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76198D" w:rsidRDefault="0076198D" w:rsidP="0002312E">
            <w:pPr>
              <w:spacing w:before="150" w:after="150"/>
              <w:ind w:firstLine="149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0F5D53" wp14:editId="5F7C22BA">
                  <wp:extent cx="1036320" cy="629764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8" cy="6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76198D" w:rsidRDefault="0076198D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384D10CA" wp14:editId="7F89D957">
                  <wp:extent cx="1661160" cy="813968"/>
                  <wp:effectExtent l="0" t="0" r="0" b="5715"/>
                  <wp:docPr id="13" name="Imagen 13" descr="GV desarrollo economico later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 desarrollo economico later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83" cy="8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AFD" w:rsidRPr="00CE50C7" w:rsidRDefault="00F34AFD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bookmarkStart w:id="0" w:name="_GoBack"/>
      <w:bookmarkEnd w:id="0"/>
    </w:p>
    <w:p w:rsidR="00CE50C7" w:rsidRDefault="00CE50C7"/>
    <w:sectPr w:rsidR="00CE50C7" w:rsidSect="00CE50C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97B"/>
    <w:multiLevelType w:val="multilevel"/>
    <w:tmpl w:val="147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244D8"/>
    <w:multiLevelType w:val="multilevel"/>
    <w:tmpl w:val="B1D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1DF"/>
    <w:multiLevelType w:val="multilevel"/>
    <w:tmpl w:val="76CA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C1BED"/>
    <w:multiLevelType w:val="multilevel"/>
    <w:tmpl w:val="343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C52F6"/>
    <w:multiLevelType w:val="multilevel"/>
    <w:tmpl w:val="D86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666F4"/>
    <w:multiLevelType w:val="multilevel"/>
    <w:tmpl w:val="FBDE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C070D"/>
    <w:multiLevelType w:val="multilevel"/>
    <w:tmpl w:val="6412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9736A"/>
    <w:multiLevelType w:val="hybridMultilevel"/>
    <w:tmpl w:val="E3EA0592"/>
    <w:lvl w:ilvl="0" w:tplc="07D835C8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8A02E8F"/>
    <w:multiLevelType w:val="multilevel"/>
    <w:tmpl w:val="E636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62DB7"/>
    <w:multiLevelType w:val="hybridMultilevel"/>
    <w:tmpl w:val="BC5825EE"/>
    <w:lvl w:ilvl="0" w:tplc="07D835C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25C3E82"/>
    <w:multiLevelType w:val="multilevel"/>
    <w:tmpl w:val="755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409BE"/>
    <w:multiLevelType w:val="multilevel"/>
    <w:tmpl w:val="F95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84F06"/>
    <w:multiLevelType w:val="hybridMultilevel"/>
    <w:tmpl w:val="4D30A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7"/>
    <w:rsid w:val="0001436F"/>
    <w:rsid w:val="00122389"/>
    <w:rsid w:val="002E0206"/>
    <w:rsid w:val="002F7AE8"/>
    <w:rsid w:val="0043444B"/>
    <w:rsid w:val="0076198D"/>
    <w:rsid w:val="0076495D"/>
    <w:rsid w:val="008A5799"/>
    <w:rsid w:val="008D5477"/>
    <w:rsid w:val="009526DA"/>
    <w:rsid w:val="00955E44"/>
    <w:rsid w:val="00CE50C7"/>
    <w:rsid w:val="00F34AFD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9C4A-66CF-4582-A3BA-9539AD23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0C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E5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F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7AE8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2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amaragipuzkoa.com/images/pdf/Gipuzkoa-_GLOBAL_TRAINING_2019_DESTINO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Lamosa</dc:creator>
  <cp:keywords/>
  <dc:description/>
  <cp:lastModifiedBy>Amaia Etxeberria</cp:lastModifiedBy>
  <cp:revision>8</cp:revision>
  <cp:lastPrinted>2019-07-12T11:27:00Z</cp:lastPrinted>
  <dcterms:created xsi:type="dcterms:W3CDTF">2019-07-15T08:10:00Z</dcterms:created>
  <dcterms:modified xsi:type="dcterms:W3CDTF">2019-07-22T11:47:00Z</dcterms:modified>
</cp:coreProperties>
</file>